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eastAsia="黑体"/>
          <w:szCs w:val="32"/>
        </w:rPr>
      </w:pPr>
      <w:r>
        <w:rPr>
          <w:rFonts w:hint="eastAsia" w:eastAsia="黑体"/>
          <w:szCs w:val="32"/>
        </w:rPr>
        <w:t xml:space="preserve">附件1 </w:t>
      </w:r>
    </w:p>
    <w:p>
      <w:pPr>
        <w:spacing w:line="560" w:lineRule="exact"/>
        <w:jc w:val="center"/>
        <w:rPr>
          <w:rFonts w:eastAsia="方正小标宋_GBK"/>
          <w:sz w:val="36"/>
          <w:szCs w:val="36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hint="eastAsia" w:eastAsia="方正小标宋_GBK"/>
          <w:sz w:val="44"/>
          <w:szCs w:val="44"/>
        </w:rPr>
        <w:t>老旧营运船舶报废更新补贴标准</w:t>
      </w:r>
      <w:bookmarkEnd w:id="0"/>
    </w:p>
    <w:p>
      <w:pPr>
        <w:spacing w:line="56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hint="eastAsia" w:eastAsia="方正黑体_GBK" w:cs="方正黑体_GBK"/>
          <w:szCs w:val="32"/>
        </w:rPr>
      </w:pPr>
      <w:r>
        <w:rPr>
          <w:rFonts w:hint="eastAsia" w:eastAsia="方正黑体_GBK" w:cs="方正黑体_GBK"/>
          <w:szCs w:val="32"/>
        </w:rPr>
        <w:t>一、提前报废老旧营运船舶</w:t>
      </w:r>
      <w:r>
        <w:rPr>
          <w:rFonts w:hint="eastAsia" w:eastAsia="方正黑体_GBK" w:cs="方正黑体_GBK"/>
          <w:bCs/>
          <w:szCs w:val="32"/>
        </w:rPr>
        <w:t>补贴</w:t>
      </w:r>
      <w:r>
        <w:rPr>
          <w:rFonts w:hint="eastAsia" w:eastAsia="方正黑体_GBK" w:cs="方正黑体_GBK"/>
          <w:szCs w:val="32"/>
        </w:rPr>
        <w:t>金额按以下方法计算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单船</w:t>
      </w:r>
      <w:r>
        <w:rPr>
          <w:bCs/>
          <w:szCs w:val="32"/>
        </w:rPr>
        <w:t>补贴</w:t>
      </w:r>
      <w:r>
        <w:rPr>
          <w:szCs w:val="32"/>
        </w:rPr>
        <w:t>金额=</w:t>
      </w:r>
      <w:r>
        <w:rPr>
          <w:bCs/>
          <w:szCs w:val="32"/>
        </w:rPr>
        <w:t>补贴</w:t>
      </w:r>
      <w:r>
        <w:rPr>
          <w:szCs w:val="32"/>
        </w:rPr>
        <w:t>标准×船舶类型系数×船龄系数×船舶总吨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其中，补贴标准见表</w:t>
      </w:r>
      <w:r>
        <w:rPr>
          <w:rFonts w:hint="eastAsia"/>
          <w:szCs w:val="32"/>
        </w:rPr>
        <w:t>1</w:t>
      </w:r>
      <w:r>
        <w:rPr>
          <w:szCs w:val="32"/>
        </w:rPr>
        <w:t>-1。船龄系数以办理船舶所有权注销手续时的实际船龄计算，船龄系数见表</w:t>
      </w:r>
      <w:r>
        <w:rPr>
          <w:rFonts w:hint="eastAsia"/>
          <w:szCs w:val="32"/>
        </w:rPr>
        <w:t>1</w:t>
      </w:r>
      <w:r>
        <w:rPr>
          <w:szCs w:val="32"/>
        </w:rPr>
        <w:t>-</w:t>
      </w:r>
      <w:r>
        <w:rPr>
          <w:rFonts w:hint="eastAsia"/>
          <w:szCs w:val="32"/>
        </w:rPr>
        <w:t>2，</w:t>
      </w:r>
      <w:r>
        <w:rPr>
          <w:szCs w:val="32"/>
        </w:rPr>
        <w:t>船舶类型系数见表</w:t>
      </w:r>
      <w:r>
        <w:rPr>
          <w:rFonts w:hint="eastAsia"/>
          <w:szCs w:val="32"/>
        </w:rPr>
        <w:t>1</w:t>
      </w:r>
      <w:r>
        <w:rPr>
          <w:szCs w:val="32"/>
        </w:rPr>
        <w:t>-</w:t>
      </w:r>
      <w:r>
        <w:rPr>
          <w:rFonts w:hint="eastAsia"/>
          <w:szCs w:val="32"/>
        </w:rPr>
        <w:t>3</w:t>
      </w:r>
      <w:r>
        <w:rPr>
          <w:szCs w:val="32"/>
        </w:rPr>
        <w:t>。船舶类型和船舶总吨以报废船舶检验证书核定为准</w:t>
      </w:r>
      <w:r>
        <w:rPr>
          <w:rFonts w:hint="eastAsia"/>
          <w:szCs w:val="32"/>
        </w:rPr>
        <w:t>。船舶总吨不足30总吨的，按30总吨计算；大于30总吨不足50总吨的，按50总吨计算。</w:t>
      </w:r>
    </w:p>
    <w:p>
      <w:pPr>
        <w:spacing w:line="560" w:lineRule="exact"/>
        <w:ind w:firstLine="640" w:firstLineChars="200"/>
        <w:rPr>
          <w:rFonts w:hint="eastAsia" w:eastAsia="方正黑体_GBK" w:cs="方正黑体_GBK"/>
          <w:szCs w:val="32"/>
        </w:rPr>
      </w:pPr>
      <w:r>
        <w:rPr>
          <w:rFonts w:hint="eastAsia" w:eastAsia="方正黑体_GBK" w:cs="方正黑体_GBK"/>
          <w:szCs w:val="32"/>
        </w:rPr>
        <w:t>二、提前报废老旧营运船舶后新建燃油动力营运船舶，其新建燃油动力船舶的</w:t>
      </w:r>
      <w:r>
        <w:rPr>
          <w:rFonts w:hint="eastAsia" w:eastAsia="方正黑体_GBK" w:cs="方正黑体_GBK"/>
          <w:bCs/>
          <w:szCs w:val="32"/>
        </w:rPr>
        <w:t>补贴</w:t>
      </w:r>
      <w:r>
        <w:rPr>
          <w:rFonts w:hint="eastAsia" w:eastAsia="方正黑体_GBK" w:cs="方正黑体_GBK"/>
          <w:szCs w:val="32"/>
        </w:rPr>
        <w:t>金额按以下方法计算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bCs/>
          <w:szCs w:val="32"/>
        </w:rPr>
        <w:t>单船</w:t>
      </w:r>
      <w:r>
        <w:rPr>
          <w:bCs/>
          <w:szCs w:val="32"/>
        </w:rPr>
        <w:t>补贴</w:t>
      </w:r>
      <w:r>
        <w:rPr>
          <w:szCs w:val="32"/>
        </w:rPr>
        <w:t>金额=</w:t>
      </w:r>
      <w:r>
        <w:rPr>
          <w:rFonts w:hint="eastAsia"/>
          <w:szCs w:val="32"/>
        </w:rPr>
        <w:t>补贴标准</w:t>
      </w:r>
      <w:r>
        <w:rPr>
          <w:szCs w:val="32"/>
        </w:rPr>
        <w:t>×船舶类型系数×船舶总吨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其中，补贴标准见表</w:t>
      </w:r>
      <w:r>
        <w:rPr>
          <w:rFonts w:hint="eastAsia"/>
          <w:szCs w:val="32"/>
        </w:rPr>
        <w:t>1</w:t>
      </w:r>
      <w:r>
        <w:rPr>
          <w:szCs w:val="32"/>
        </w:rPr>
        <w:t>-1。船舶类型系数见表</w:t>
      </w:r>
      <w:r>
        <w:rPr>
          <w:rFonts w:hint="eastAsia"/>
          <w:szCs w:val="32"/>
        </w:rPr>
        <w:t>1</w:t>
      </w:r>
      <w:r>
        <w:rPr>
          <w:szCs w:val="32"/>
        </w:rPr>
        <w:t>-</w:t>
      </w:r>
      <w:r>
        <w:rPr>
          <w:rFonts w:hint="eastAsia"/>
          <w:szCs w:val="32"/>
        </w:rPr>
        <w:t>3</w:t>
      </w:r>
      <w:r>
        <w:rPr>
          <w:szCs w:val="32"/>
        </w:rPr>
        <w:t>。船舶类型</w:t>
      </w:r>
      <w:r>
        <w:rPr>
          <w:rFonts w:hint="eastAsia"/>
          <w:szCs w:val="32"/>
        </w:rPr>
        <w:t>和</w:t>
      </w:r>
      <w:r>
        <w:rPr>
          <w:szCs w:val="32"/>
        </w:rPr>
        <w:t>船舶总吨以船舶检验证书核定为准</w:t>
      </w:r>
      <w:r>
        <w:rPr>
          <w:rFonts w:hint="eastAsia"/>
          <w:szCs w:val="32"/>
        </w:rPr>
        <w:t>。新建船舶的总吨大于对应的拆解船舶总吨时，单船补贴金额按对应的拆解船舶的总吨计算。船舶总吨不足30总吨的，按30总吨计算；大于30总吨不足50总吨的，按50总吨计算。</w:t>
      </w:r>
    </w:p>
    <w:p>
      <w:pPr>
        <w:spacing w:line="560" w:lineRule="exact"/>
        <w:ind w:firstLine="640" w:firstLineChars="200"/>
        <w:rPr>
          <w:rFonts w:hint="eastAsia" w:eastAsia="方正黑体_GBK" w:cs="方正黑体_GBK"/>
          <w:szCs w:val="32"/>
        </w:rPr>
      </w:pPr>
      <w:r>
        <w:rPr>
          <w:rFonts w:hint="eastAsia" w:eastAsia="方正黑体_GBK" w:cs="方正黑体_GBK"/>
          <w:szCs w:val="32"/>
        </w:rPr>
        <w:t>三、新建新能源清洁能源营运船舶</w:t>
      </w:r>
      <w:r>
        <w:rPr>
          <w:rFonts w:hint="eastAsia" w:eastAsia="方正黑体_GBK" w:cs="方正黑体_GBK"/>
          <w:bCs/>
          <w:szCs w:val="32"/>
        </w:rPr>
        <w:t>补贴</w:t>
      </w:r>
      <w:r>
        <w:rPr>
          <w:rFonts w:hint="eastAsia" w:eastAsia="方正黑体_GBK" w:cs="方正黑体_GBK"/>
          <w:szCs w:val="32"/>
        </w:rPr>
        <w:t>金额按以下方法计算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单船</w:t>
      </w:r>
      <w:r>
        <w:rPr>
          <w:bCs/>
          <w:szCs w:val="32"/>
        </w:rPr>
        <w:t>补贴</w:t>
      </w:r>
      <w:r>
        <w:rPr>
          <w:szCs w:val="32"/>
        </w:rPr>
        <w:t>金额=</w:t>
      </w:r>
      <w:r>
        <w:rPr>
          <w:bCs/>
          <w:szCs w:val="32"/>
        </w:rPr>
        <w:t>补贴</w:t>
      </w:r>
      <w:r>
        <w:rPr>
          <w:szCs w:val="32"/>
        </w:rPr>
        <w:t>标准×船舶类型系数×</w:t>
      </w:r>
      <w:r>
        <w:rPr>
          <w:rFonts w:hint="eastAsia"/>
          <w:szCs w:val="32"/>
        </w:rPr>
        <w:t>新能源清洁能源</w:t>
      </w:r>
      <w:r>
        <w:rPr>
          <w:szCs w:val="32"/>
        </w:rPr>
        <w:t>船</w:t>
      </w:r>
      <w:r>
        <w:rPr>
          <w:rFonts w:hint="eastAsia"/>
          <w:szCs w:val="32"/>
        </w:rPr>
        <w:t>动力形式</w:t>
      </w:r>
      <w:r>
        <w:rPr>
          <w:szCs w:val="32"/>
        </w:rPr>
        <w:t>系数×船舶总吨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其中，补贴标准见表</w:t>
      </w:r>
      <w:r>
        <w:rPr>
          <w:rFonts w:hint="eastAsia"/>
          <w:szCs w:val="32"/>
        </w:rPr>
        <w:t>1</w:t>
      </w:r>
      <w:r>
        <w:rPr>
          <w:szCs w:val="32"/>
        </w:rPr>
        <w:t>-1。船舶类型和船舶总吨以新建船舶检验证书核定为准</w:t>
      </w:r>
      <w:r>
        <w:rPr>
          <w:rFonts w:hint="eastAsia"/>
          <w:szCs w:val="32"/>
        </w:rPr>
        <w:t>，</w:t>
      </w:r>
      <w:r>
        <w:rPr>
          <w:szCs w:val="32"/>
        </w:rPr>
        <w:t>船舶类型系数见表</w:t>
      </w:r>
      <w:r>
        <w:rPr>
          <w:rFonts w:hint="eastAsia"/>
          <w:szCs w:val="32"/>
        </w:rPr>
        <w:t>1</w:t>
      </w:r>
      <w:r>
        <w:rPr>
          <w:szCs w:val="32"/>
        </w:rPr>
        <w:t>-</w:t>
      </w:r>
      <w:r>
        <w:rPr>
          <w:rFonts w:hint="eastAsia"/>
          <w:szCs w:val="32"/>
        </w:rPr>
        <w:t>3</w:t>
      </w:r>
      <w:r>
        <w:rPr>
          <w:szCs w:val="32"/>
        </w:rPr>
        <w:t>。</w:t>
      </w:r>
      <w:r>
        <w:rPr>
          <w:rFonts w:hint="eastAsia"/>
          <w:szCs w:val="32"/>
        </w:rPr>
        <w:t>新能源清洁能源船动力形式系数：</w:t>
      </w:r>
      <w:r>
        <w:rPr>
          <w:szCs w:val="32"/>
        </w:rPr>
        <w:t>液化天然气单一燃料、甲醇</w:t>
      </w:r>
      <w:r>
        <w:rPr>
          <w:rFonts w:hint="eastAsia"/>
          <w:szCs w:val="32"/>
        </w:rPr>
        <w:t>单一燃料、氢燃料动力</w:t>
      </w:r>
      <w:r>
        <w:rPr>
          <w:szCs w:val="32"/>
        </w:rPr>
        <w:t>、</w:t>
      </w:r>
      <w:r>
        <w:rPr>
          <w:rFonts w:hint="eastAsia"/>
          <w:szCs w:val="32"/>
        </w:rPr>
        <w:t>氨燃料动力</w:t>
      </w:r>
      <w:r>
        <w:rPr>
          <w:szCs w:val="32"/>
        </w:rPr>
        <w:t>、纯电池动力（不含铅酸电池动力）</w:t>
      </w:r>
      <w:r>
        <w:rPr>
          <w:rFonts w:hint="eastAsia"/>
          <w:szCs w:val="32"/>
        </w:rPr>
        <w:t>船舶为1.0，燃油替代率60%以上的</w:t>
      </w:r>
      <w:r>
        <w:rPr>
          <w:szCs w:val="32"/>
        </w:rPr>
        <w:t>液化天然气</w:t>
      </w:r>
      <w:r>
        <w:rPr>
          <w:rFonts w:hint="eastAsia"/>
          <w:szCs w:val="32"/>
        </w:rPr>
        <w:t>和燃油双</w:t>
      </w:r>
      <w:r>
        <w:rPr>
          <w:szCs w:val="32"/>
        </w:rPr>
        <w:t>燃料</w:t>
      </w:r>
      <w:r>
        <w:rPr>
          <w:rFonts w:hint="eastAsia"/>
          <w:szCs w:val="32"/>
        </w:rPr>
        <w:t>船舶</w:t>
      </w:r>
      <w:r>
        <w:rPr>
          <w:szCs w:val="32"/>
        </w:rPr>
        <w:t>、</w:t>
      </w:r>
      <w:r>
        <w:rPr>
          <w:rFonts w:hint="eastAsia"/>
          <w:szCs w:val="32"/>
        </w:rPr>
        <w:t>燃油替代率50%以上的</w:t>
      </w:r>
      <w:r>
        <w:rPr>
          <w:szCs w:val="32"/>
        </w:rPr>
        <w:t>甲醇</w:t>
      </w:r>
      <w:r>
        <w:rPr>
          <w:rFonts w:hint="eastAsia"/>
          <w:szCs w:val="32"/>
        </w:rPr>
        <w:t>和燃油双燃料船舶为0.5。</w:t>
      </w:r>
    </w:p>
    <w:p>
      <w:pPr>
        <w:spacing w:line="560" w:lineRule="exact"/>
        <w:jc w:val="center"/>
        <w:rPr>
          <w:rFonts w:eastAsia="黑体"/>
          <w:szCs w:val="32"/>
        </w:rPr>
      </w:pPr>
      <w:r>
        <w:rPr>
          <w:rFonts w:eastAsia="黑体"/>
          <w:szCs w:val="32"/>
        </w:rPr>
        <w:t>表</w:t>
      </w:r>
      <w:r>
        <w:rPr>
          <w:rFonts w:hint="eastAsia" w:eastAsia="黑体"/>
          <w:szCs w:val="32"/>
        </w:rPr>
        <w:t>1</w:t>
      </w:r>
      <w:r>
        <w:rPr>
          <w:rFonts w:eastAsia="黑体"/>
          <w:szCs w:val="32"/>
        </w:rPr>
        <w:t>-1营运船舶报废更新补贴标准（单位：元/总吨）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2"/>
        <w:gridCol w:w="2976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类型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内河</w:t>
            </w:r>
            <w:r>
              <w:rPr>
                <w:rFonts w:hint="eastAsia"/>
                <w:sz w:val="24"/>
              </w:rPr>
              <w:t>船舶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沿海船舶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提前报废老旧营运船舶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1000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新建燃油动力营运船舶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新建新能源</w:t>
            </w:r>
            <w:r>
              <w:rPr>
                <w:rFonts w:hint="eastAsia"/>
                <w:sz w:val="24"/>
              </w:rPr>
              <w:t>清洁能源营运</w:t>
            </w:r>
            <w:r>
              <w:rPr>
                <w:sz w:val="24"/>
              </w:rPr>
              <w:t>船舶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2200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00</w:t>
            </w:r>
          </w:p>
        </w:tc>
      </w:tr>
    </w:tbl>
    <w:p>
      <w:pPr>
        <w:rPr>
          <w:sz w:val="24"/>
          <w:szCs w:val="28"/>
        </w:rPr>
      </w:pPr>
      <w:r>
        <w:rPr>
          <w:sz w:val="24"/>
          <w:szCs w:val="28"/>
        </w:rPr>
        <w:t>注</w:t>
      </w:r>
      <w:r>
        <w:rPr>
          <w:rFonts w:hint="eastAsia"/>
          <w:sz w:val="24"/>
          <w:szCs w:val="28"/>
        </w:rPr>
        <w:t>：1.特定航线江海直达船舶执行内河船舶补贴标准。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   2.必须报废老旧营运船舶方可申请新建燃油动力营运船舶补贴。</w:t>
      </w:r>
    </w:p>
    <w:p>
      <w:pPr>
        <w:jc w:val="center"/>
        <w:rPr>
          <w:rFonts w:eastAsia="黑体"/>
          <w:szCs w:val="32"/>
        </w:rPr>
      </w:pPr>
      <w:r>
        <w:rPr>
          <w:rFonts w:eastAsia="黑体"/>
          <w:szCs w:val="32"/>
        </w:rPr>
        <w:t>表</w:t>
      </w:r>
      <w:r>
        <w:rPr>
          <w:rFonts w:hint="eastAsia" w:eastAsia="黑体"/>
          <w:szCs w:val="32"/>
        </w:rPr>
        <w:t>1</w:t>
      </w:r>
      <w:r>
        <w:rPr>
          <w:rFonts w:eastAsia="黑体"/>
          <w:szCs w:val="32"/>
        </w:rPr>
        <w:t>-2 内河和沿海老旧营运船舶船龄系数表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834"/>
        <w:gridCol w:w="1834"/>
        <w:gridCol w:w="1834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83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船舶种类</w:t>
            </w:r>
          </w:p>
        </w:tc>
        <w:tc>
          <w:tcPr>
            <w:tcW w:w="3668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内河船</w:t>
            </w:r>
          </w:p>
        </w:tc>
        <w:tc>
          <w:tcPr>
            <w:tcW w:w="3668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沿海船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83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3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船龄（</w:t>
            </w:r>
            <w:r>
              <w:rPr>
                <w:rFonts w:hint="eastAsia"/>
                <w:sz w:val="24"/>
              </w:rPr>
              <w:t>X</w:t>
            </w:r>
            <w:r>
              <w:rPr>
                <w:sz w:val="24"/>
              </w:rPr>
              <w:t>）</w:t>
            </w:r>
          </w:p>
        </w:tc>
        <w:tc>
          <w:tcPr>
            <w:tcW w:w="183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船龄系数</w:t>
            </w:r>
          </w:p>
        </w:tc>
        <w:tc>
          <w:tcPr>
            <w:tcW w:w="183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船龄（</w:t>
            </w:r>
            <w:r>
              <w:rPr>
                <w:rFonts w:hint="eastAsia"/>
                <w:sz w:val="24"/>
              </w:rPr>
              <w:t>X</w:t>
            </w:r>
            <w:r>
              <w:rPr>
                <w:sz w:val="24"/>
              </w:rPr>
              <w:t>）</w:t>
            </w:r>
          </w:p>
        </w:tc>
        <w:tc>
          <w:tcPr>
            <w:tcW w:w="183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船龄系数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83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客船类</w:t>
            </w:r>
          </w:p>
        </w:tc>
        <w:tc>
          <w:tcPr>
            <w:tcW w:w="183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10＜X≤15年</w:t>
            </w:r>
          </w:p>
        </w:tc>
        <w:tc>
          <w:tcPr>
            <w:tcW w:w="183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15＜X≤18年</w:t>
            </w:r>
          </w:p>
        </w:tc>
        <w:tc>
          <w:tcPr>
            <w:tcW w:w="183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3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15＜X≤20年</w:t>
            </w:r>
          </w:p>
        </w:tc>
        <w:tc>
          <w:tcPr>
            <w:tcW w:w="183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83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18＜X≤22年</w:t>
            </w:r>
          </w:p>
        </w:tc>
        <w:tc>
          <w:tcPr>
            <w:tcW w:w="183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3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20＜X≤25年</w:t>
            </w:r>
          </w:p>
        </w:tc>
        <w:tc>
          <w:tcPr>
            <w:tcW w:w="183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83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22＜X≤25年</w:t>
            </w:r>
          </w:p>
        </w:tc>
        <w:tc>
          <w:tcPr>
            <w:tcW w:w="183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货船类</w:t>
            </w:r>
          </w:p>
        </w:tc>
        <w:tc>
          <w:tcPr>
            <w:tcW w:w="183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15＜X≤20年</w:t>
            </w:r>
          </w:p>
        </w:tc>
        <w:tc>
          <w:tcPr>
            <w:tcW w:w="183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20＜X≤23年</w:t>
            </w:r>
          </w:p>
        </w:tc>
        <w:tc>
          <w:tcPr>
            <w:tcW w:w="183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3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20＜X≤25年</w:t>
            </w:r>
          </w:p>
        </w:tc>
        <w:tc>
          <w:tcPr>
            <w:tcW w:w="183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83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23＜X≤27年</w:t>
            </w:r>
          </w:p>
        </w:tc>
        <w:tc>
          <w:tcPr>
            <w:tcW w:w="183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3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25＜X≤30年</w:t>
            </w:r>
          </w:p>
        </w:tc>
        <w:tc>
          <w:tcPr>
            <w:tcW w:w="183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83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27＜X≤30年</w:t>
            </w:r>
          </w:p>
        </w:tc>
        <w:tc>
          <w:tcPr>
            <w:tcW w:w="183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</w:tbl>
    <w:p>
      <w:pPr>
        <w:rPr>
          <w:bCs/>
          <w:sz w:val="28"/>
          <w:szCs w:val="28"/>
        </w:rPr>
      </w:pPr>
      <w:r>
        <w:rPr>
          <w:sz w:val="24"/>
          <w:szCs w:val="28"/>
        </w:rPr>
        <w:t>注：根据船舶种类和实际船龄对应上表确定船龄系数。</w:t>
      </w:r>
      <w:r>
        <w:rPr>
          <w:rFonts w:hint="eastAsia"/>
          <w:sz w:val="24"/>
          <w:szCs w:val="28"/>
        </w:rPr>
        <w:t>拆解船舶的实际船龄为船舶自建造完工之日起至《船舶所有权注销登记证书》签发之日的年限（据实计算，不取整）。</w:t>
      </w:r>
    </w:p>
    <w:p>
      <w:pPr>
        <w:jc w:val="center"/>
        <w:rPr>
          <w:rFonts w:eastAsia="黑体"/>
          <w:szCs w:val="32"/>
        </w:rPr>
      </w:pPr>
      <w:r>
        <w:rPr>
          <w:rFonts w:eastAsia="黑体"/>
          <w:szCs w:val="32"/>
        </w:rPr>
        <w:t>表</w:t>
      </w:r>
      <w:r>
        <w:rPr>
          <w:rFonts w:hint="eastAsia" w:eastAsia="黑体"/>
          <w:szCs w:val="32"/>
        </w:rPr>
        <w:t>1</w:t>
      </w:r>
      <w:r>
        <w:rPr>
          <w:rFonts w:eastAsia="黑体"/>
          <w:szCs w:val="32"/>
        </w:rPr>
        <w:t>-3船舶</w:t>
      </w:r>
      <w:r>
        <w:rPr>
          <w:rFonts w:hint="eastAsia" w:eastAsia="黑体"/>
          <w:szCs w:val="32"/>
        </w:rPr>
        <w:t>类型</w:t>
      </w:r>
      <w:r>
        <w:rPr>
          <w:rFonts w:eastAsia="黑体"/>
          <w:szCs w:val="32"/>
        </w:rPr>
        <w:t>系数表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4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  <w:jc w:val="center"/>
        </w:trPr>
        <w:tc>
          <w:tcPr>
            <w:tcW w:w="543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船型</w:t>
            </w:r>
          </w:p>
        </w:tc>
        <w:tc>
          <w:tcPr>
            <w:tcW w:w="308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船型系数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43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散货船、</w:t>
            </w:r>
            <w:r>
              <w:rPr>
                <w:rFonts w:hint="eastAsia"/>
                <w:sz w:val="24"/>
                <w:szCs w:val="24"/>
              </w:rPr>
              <w:t>矿砂船、</w:t>
            </w:r>
            <w:r>
              <w:rPr>
                <w:sz w:val="24"/>
                <w:szCs w:val="24"/>
              </w:rPr>
              <w:t>散</w:t>
            </w:r>
            <w:r>
              <w:rPr>
                <w:rFonts w:hint="eastAsia"/>
                <w:sz w:val="24"/>
                <w:szCs w:val="24"/>
              </w:rPr>
              <w:t>装</w:t>
            </w:r>
            <w:r>
              <w:rPr>
                <w:sz w:val="24"/>
                <w:szCs w:val="24"/>
              </w:rPr>
              <w:t>水泥船、杂货船、其他货船</w:t>
            </w:r>
          </w:p>
        </w:tc>
        <w:tc>
          <w:tcPr>
            <w:tcW w:w="308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43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集装箱船、冷藏船、多用途船、</w:t>
            </w:r>
            <w:r>
              <w:rPr>
                <w:rFonts w:hint="eastAsia"/>
                <w:sz w:val="24"/>
                <w:szCs w:val="24"/>
              </w:rPr>
              <w:t>货滚船、</w:t>
            </w:r>
            <w:r>
              <w:rPr>
                <w:sz w:val="24"/>
                <w:szCs w:val="24"/>
              </w:rPr>
              <w:t>木材船</w:t>
            </w:r>
          </w:p>
        </w:tc>
        <w:tc>
          <w:tcPr>
            <w:tcW w:w="308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客船、客滚船、客货船、客渡船、客货渡船、旅游船、</w:t>
            </w:r>
            <w:r>
              <w:rPr>
                <w:rFonts w:hint="eastAsia"/>
                <w:sz w:val="24"/>
                <w:szCs w:val="24"/>
              </w:rPr>
              <w:t>其他客船、</w:t>
            </w:r>
            <w:r>
              <w:rPr>
                <w:sz w:val="24"/>
                <w:szCs w:val="24"/>
              </w:rPr>
              <w:t>液化气船、散装化学品船、油船（包括沥青船）、推船、拖船</w:t>
            </w:r>
          </w:p>
        </w:tc>
        <w:tc>
          <w:tcPr>
            <w:tcW w:w="308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</w:tr>
    </w:tbl>
    <w:p/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184315BF"/>
    <w:rsid w:val="184315BF"/>
    <w:rsid w:val="33D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2024-09-06T07:20:00Z</dcterms:created>
  <dc:creator> 明天的明天</dc:creator>
  <cp:lastModifiedBy> 明天的明天</cp:lastModifiedBy>
  <dcterms:modified xsi:type="dcterms:W3CDTF">2024-09-06T07:20:50Z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3A6066C38A2E486996C87BC2021C6E45_11</vt:lpwstr>
  </property>
</Properties>
</file>