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91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Arial" w:hAnsi="Arial" w:eastAsia="宋体" w:cs="Arial"/>
          <w:b/>
          <w:sz w:val="36"/>
          <w:szCs w:val="44"/>
          <w:lang w:eastAsia="zh-CN"/>
        </w:rPr>
      </w:pPr>
    </w:p>
    <w:p w14:paraId="7AD38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年度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嘉鱼县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红十字会</w:t>
      </w:r>
    </w:p>
    <w:p w14:paraId="72F4C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人道救助、人道传播、事业经费和备灾救灾援助建设</w:t>
      </w:r>
    </w:p>
    <w:p w14:paraId="1C047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项目资金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绩效自评报告</w:t>
      </w:r>
    </w:p>
    <w:p w14:paraId="1A42E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</w:p>
    <w:p w14:paraId="77E13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一、绩效目标分解下达情况</w:t>
      </w:r>
    </w:p>
    <w:p w14:paraId="367E9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资金下达情况：2023年度人道救助、人道传播、事业经费和备灾救灾援助项目财政预算拨款资金16万元，全年执行数6.41万元。</w:t>
      </w:r>
    </w:p>
    <w:p w14:paraId="19896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0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绩效目标：加强人道救助，应急救护服务体系，加强“三献”服务体系建设；将公共场所配置自动体外除颤器（AED）纳入重点。</w:t>
      </w:r>
    </w:p>
    <w:p w14:paraId="2C5CF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二、绩效目标完成情况分析</w:t>
      </w:r>
    </w:p>
    <w:p w14:paraId="0D108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（一）资金投入情况分析。</w:t>
      </w:r>
    </w:p>
    <w:p w14:paraId="6EB63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2023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年度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人道救助、人道传播、事业经费和备灾救灾援助项目预算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资金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16万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元，累计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使用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资金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6.41万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元，预算执行率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40.06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%。</w:t>
      </w:r>
    </w:p>
    <w:p w14:paraId="7C7D73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总体绩效目标完成情况分析。</w:t>
      </w:r>
    </w:p>
    <w:p w14:paraId="0BF3F8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咸发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eastAsia="zh-CN"/>
        </w:rPr>
        <w:t>〔2020〕9号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，发展红十字事业，保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障和改善民生的现实需要，加强应急救援服务体系建设，加强人道救助服务体系建设，加强应急救护服务体系建设，加强“三献”服务体系建设，加强学校红十字体系建设，扩大红十字精神传播。推进红十字基层组织建设，打造群众身边的红十字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，现已完成年初制定的绩效目标。</w:t>
      </w:r>
    </w:p>
    <w:p w14:paraId="2727D9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绩效指标完成情况分析。</w:t>
      </w:r>
    </w:p>
    <w:p w14:paraId="2969DC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（1）产出指标完成情况分析。</w:t>
      </w:r>
    </w:p>
    <w:p w14:paraId="3BCE4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①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数量指标</w:t>
      </w:r>
    </w:p>
    <w:p w14:paraId="370E2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2023年完成每个单位红十字救护员培训2人，完成年度目标；</w:t>
      </w:r>
    </w:p>
    <w:p w14:paraId="208C8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2023年完成应急救护培训人数11855人，完成年度目标；</w:t>
      </w:r>
    </w:p>
    <w:p w14:paraId="38740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2023年完成造血干细胞库容50人，完成年度目标。</w:t>
      </w:r>
    </w:p>
    <w:p w14:paraId="0D36A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②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质量指标</w:t>
      </w:r>
    </w:p>
    <w:p w14:paraId="77631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救护培训普率50%，确保每一位参与者都能深入掌握并能灵活运用所学的急救知识。无偿献血任务完成率100%，为无偿献血志愿者进行嘉奖和鼓励，确保每一位献血者都能得到优质的体验和服务。基层组织建设普及，提升基层组织的业务能力和综合素质，增强社会公众的信任和支持。</w:t>
      </w:r>
    </w:p>
    <w:p w14:paraId="7B300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③时效指标</w:t>
      </w:r>
    </w:p>
    <w:p w14:paraId="125BD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应急救护培训率达到100%，参与培训人员掌握了必要的应急救护技能，为提升居民的应急救护意识和能力、降低意外伤害造成的损失起到了重要作用。救援物资及时发放，确保每一笔物资能够准确无误地发放到受助者手中。</w:t>
      </w:r>
    </w:p>
    <w:p w14:paraId="624D5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④社会效益</w:t>
      </w:r>
    </w:p>
    <w:p w14:paraId="23F2B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社区居民救护能力逐步提高。应急救护培训的普及，有助于提高居民在突发事件中的自救互救能力，当遇到突发状况时可以迅速、准确地采取应急措施。红十字会影响力和社会认识度逐步提高，让更多的人愿意了解和参与到红十字会的各项工作中来。</w:t>
      </w:r>
    </w:p>
    <w:p w14:paraId="295D6B5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下一步改进措施</w:t>
      </w:r>
    </w:p>
    <w:p w14:paraId="12BFDC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1.参与、推动“三献”工作，践行人道初心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积极参与、推动无偿献血宣传，联合相关部门组织开展无偿献血和世界献血者日活动；积极助力生命救助，普及造血干细胞捐献知识，强化造血干细胞捐献宣传和捐献理念的培育</w:t>
      </w:r>
      <w:r>
        <w:rPr>
          <w:rFonts w:hint="eastAsia" w:ascii="仿宋_GB2312"/>
          <w:sz w:val="28"/>
          <w:szCs w:val="28"/>
          <w:lang w:val="en-US" w:eastAsia="zh-CN"/>
        </w:rPr>
        <w:t>。</w:t>
      </w:r>
    </w:p>
    <w:p w14:paraId="6D4A9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加大筹资宣传动员力度，充分利用互联网等新媒体手段和电视、报纸等传统媒体开展宣传。充分发挥理事会作用，加强与行业商会、社会组织等合作，拓宽筹资领域，合力推动公益事业的发展。增强捐赠款物管理使用透明度，及时反馈项目执行进展，落实项目信息公开、宣传表彰奖励等制度。</w:t>
      </w:r>
    </w:p>
    <w:p w14:paraId="1F3E277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绩效自评结果拟应用和公开情况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</w:p>
    <w:p w14:paraId="2E740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绩效评价结果将在县政府公务网站上公开。</w:t>
      </w:r>
    </w:p>
    <w:p w14:paraId="090D1B1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其他需要说明的问题</w:t>
      </w:r>
    </w:p>
    <w:p w14:paraId="7307D2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120" w:firstLineChars="4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无其他需要说明的问题</w:t>
      </w:r>
    </w:p>
    <w:p w14:paraId="68245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嘉鱼县红十字会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88A71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8A4F0"/>
    <w:multiLevelType w:val="singleLevel"/>
    <w:tmpl w:val="F128A4F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716F2BB"/>
    <w:multiLevelType w:val="singleLevel"/>
    <w:tmpl w:val="0716F2B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A0CB233"/>
    <w:multiLevelType w:val="singleLevel"/>
    <w:tmpl w:val="7A0CB23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1NjlkNTlkODQyMjE4MDAwNDZjZTAzZjI4MDE2MGI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2FA3E45"/>
    <w:rsid w:val="037D0BC8"/>
    <w:rsid w:val="0478728A"/>
    <w:rsid w:val="0845082D"/>
    <w:rsid w:val="087D7E8A"/>
    <w:rsid w:val="09E965F2"/>
    <w:rsid w:val="0B5F44E0"/>
    <w:rsid w:val="0C994AB9"/>
    <w:rsid w:val="0DFD0F09"/>
    <w:rsid w:val="139840D3"/>
    <w:rsid w:val="143E091F"/>
    <w:rsid w:val="14865FC8"/>
    <w:rsid w:val="14EC137B"/>
    <w:rsid w:val="150C2DB0"/>
    <w:rsid w:val="187B3BA2"/>
    <w:rsid w:val="1CC76252"/>
    <w:rsid w:val="1E761F05"/>
    <w:rsid w:val="1F7BE1E6"/>
    <w:rsid w:val="1FC7205C"/>
    <w:rsid w:val="228B3D05"/>
    <w:rsid w:val="26022319"/>
    <w:rsid w:val="284E74F8"/>
    <w:rsid w:val="298246DE"/>
    <w:rsid w:val="2ADB48E8"/>
    <w:rsid w:val="2CC07849"/>
    <w:rsid w:val="303B431A"/>
    <w:rsid w:val="32BE102A"/>
    <w:rsid w:val="36687282"/>
    <w:rsid w:val="367793B2"/>
    <w:rsid w:val="3794FC37"/>
    <w:rsid w:val="38EF7AD8"/>
    <w:rsid w:val="3B3A26ED"/>
    <w:rsid w:val="3D64623B"/>
    <w:rsid w:val="3E1672E6"/>
    <w:rsid w:val="3EB9C2BB"/>
    <w:rsid w:val="407D1C6B"/>
    <w:rsid w:val="415F08D8"/>
    <w:rsid w:val="424944CF"/>
    <w:rsid w:val="447357CF"/>
    <w:rsid w:val="44E2230F"/>
    <w:rsid w:val="484413D8"/>
    <w:rsid w:val="48B51347"/>
    <w:rsid w:val="491B45FA"/>
    <w:rsid w:val="4940659F"/>
    <w:rsid w:val="4A55216A"/>
    <w:rsid w:val="4FE0696A"/>
    <w:rsid w:val="545E5166"/>
    <w:rsid w:val="546F8569"/>
    <w:rsid w:val="55673508"/>
    <w:rsid w:val="59595A6F"/>
    <w:rsid w:val="599330CA"/>
    <w:rsid w:val="5A7FCB1F"/>
    <w:rsid w:val="5E3A7B70"/>
    <w:rsid w:val="5EA422DD"/>
    <w:rsid w:val="5EB32EE1"/>
    <w:rsid w:val="5F7A0282"/>
    <w:rsid w:val="5FEAF7C9"/>
    <w:rsid w:val="60D5009F"/>
    <w:rsid w:val="62DC7C3B"/>
    <w:rsid w:val="64AC2E11"/>
    <w:rsid w:val="660721C9"/>
    <w:rsid w:val="661E6C75"/>
    <w:rsid w:val="67F75FF5"/>
    <w:rsid w:val="681D4831"/>
    <w:rsid w:val="692E4B19"/>
    <w:rsid w:val="69513EF7"/>
    <w:rsid w:val="6B2331E9"/>
    <w:rsid w:val="6BF3256F"/>
    <w:rsid w:val="6CE7018A"/>
    <w:rsid w:val="6E3E3F2D"/>
    <w:rsid w:val="715B2F02"/>
    <w:rsid w:val="72B71E7D"/>
    <w:rsid w:val="752675CC"/>
    <w:rsid w:val="76A548F2"/>
    <w:rsid w:val="76A86406"/>
    <w:rsid w:val="7765772E"/>
    <w:rsid w:val="776F5E62"/>
    <w:rsid w:val="77867685"/>
    <w:rsid w:val="781F36B6"/>
    <w:rsid w:val="790627AD"/>
    <w:rsid w:val="7ADC59FA"/>
    <w:rsid w:val="7AFF2FC3"/>
    <w:rsid w:val="7B6A2721"/>
    <w:rsid w:val="7BF6B4C5"/>
    <w:rsid w:val="7DDD794F"/>
    <w:rsid w:val="7FDE47D5"/>
    <w:rsid w:val="7FEE56CF"/>
    <w:rsid w:val="94BFC172"/>
    <w:rsid w:val="9BFA614C"/>
    <w:rsid w:val="BFBF52D7"/>
    <w:rsid w:val="DF6E82F1"/>
    <w:rsid w:val="F7FBEBBF"/>
    <w:rsid w:val="FDB538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1133</Words>
  <Characters>1186</Characters>
  <Lines>3</Lines>
  <Paragraphs>1</Paragraphs>
  <TotalTime>3</TotalTime>
  <ScaleCrop>false</ScaleCrop>
  <LinksUpToDate>false</LinksUpToDate>
  <CharactersWithSpaces>1189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2019-02-13T22:26:00Z</dcterms:created>
  <dc:creator>lhn</dc:creator>
  <cp:lastModifiedBy>Administrator</cp:lastModifiedBy>
  <cp:lastPrinted>2024-05-09T01:14:00Z</cp:lastPrinted>
  <dcterms:modified xsi:type="dcterms:W3CDTF">2024-10-23T01:20:09Z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8E08FAD34C8748E9A29A4990D72AED56</vt:lpwstr>
  </property>
</Properties>
</file>