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嘉鱼县政务公开工作检查情况清单</w:t>
      </w:r>
    </w:p>
    <w:bookmarkEnd w:id="0"/>
    <w:tbl>
      <w:tblPr>
        <w:tblStyle w:val="5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297"/>
        <w:gridCol w:w="1733"/>
        <w:gridCol w:w="1767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0" w:firstLineChars="40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检查事项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27"/>
                <w:tab w:val="center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0" w:firstLineChars="4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27"/>
                <w:tab w:val="center" w:pos="1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left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00" w:firstLineChars="400"/>
              <w:jc w:val="center"/>
              <w:textAlignment w:val="bottom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是否制定政务公开（含政府网站、政务新媒体及其他公开媒介等）工作机制，是否安排专人负责政务公开工作，是否明确分管领导。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是否知晓本单位应主动公开的信息。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0"/>
                <w:szCs w:val="20"/>
                <w:lang w:val="en-US" w:eastAsia="zh-CN"/>
              </w:rPr>
              <w:t>是否建立信息发布登记归档制度，是否有信息发布审核登记本等台账资料。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县退役军人局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县公共资源交易中心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县检测中心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县科经局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县供销社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县水利湖泊局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县自然资源规划局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都得较好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县城管执法局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市生态环境局嘉鱼分局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做得较好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嘉鱼开发区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县教育局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县招商投资中心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陆溪镇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高铁岭镇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官桥镇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鱼岳镇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新街镇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潘家湾镇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渡普镇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簰洲湾镇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基本知晓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TVlNGRlMmZhOTJmMjE5ZDllMjNlNWViMzJiMjUifQ=="/>
  </w:docVars>
  <w:rsids>
    <w:rsidRoot w:val="4FC41BA9"/>
    <w:rsid w:val="4FC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hint="eastAsia"/>
      <w:sz w:val="21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宋体" w:hAnsi="宋体"/>
      <w:sz w:val="28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626</Characters>
  <Lines>0</Lines>
  <Paragraphs>0</Paragraphs>
  <TotalTime>2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2023-08-07T03:48:00Z</dcterms:created>
  <dc:creator>吴操William.Wu</dc:creator>
  <cp:lastModifiedBy>吴操William.Wu</cp:lastModifiedBy>
  <dcterms:modified xsi:type="dcterms:W3CDTF">2023-08-07T03:53:13Z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8DA6EF44124D407AAB7F6D1B9B061BB6_11</vt:lpwstr>
  </property>
</Properties>
</file>